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have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returned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Dubai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Moody’s 10th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Annual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GCC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guest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speaker.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full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event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held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theme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“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Fall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Understanding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Trends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Consequences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Gulf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centered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sessions: GCC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sovereign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resistance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stresses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feel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pain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low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followed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concurrent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practical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workshops: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considerations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owned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companies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Moody’s new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methodology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analyzing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banks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and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overview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Islamic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finance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focus 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hybrid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sukuk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designed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gain new insights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fairly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sophisticated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analyses of Moody’s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Investors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offered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hear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external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guest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speakers. The first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Bassam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Fattouh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assessed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analyzing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causes and implications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exploring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global perspectives. The second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myself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GCC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outlook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highlighting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 trends and challenges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broader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context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situation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worked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introduction to the main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topics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take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Bassam’s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presentation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rapid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growth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US light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tight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seen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shock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By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shifting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perception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availability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scarcity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abundance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fundamentally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affected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both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prompt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the longer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has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international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dynamics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patterns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crude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far-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reaching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implications for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price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differentials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marketing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strategies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Looking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ahead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uncertainties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balances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shaped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ultimately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adjust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low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changing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expectations and sentiments.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Furthermore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perception of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loss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an important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feedback (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stemming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2014 shift in OPEC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continue to affect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sentiments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volatility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increase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premium 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projects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latter conclusion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offered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perfect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transition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presentation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But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overarching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theme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arising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activities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focus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remaining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brief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APICORP’s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perceptual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mapping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clearly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attracted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audience's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price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collapse and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uncertainties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surrounding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recovery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persistent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political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turmoil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adversely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though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unevenly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affect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outlook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the case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often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determined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using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proxy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indicator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country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conveniently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sovereign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rating. 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recent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rating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landscape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indeed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dramatically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evolved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aftermath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Arab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uprisings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 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Tunisia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Egypt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to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lesser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extent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Bahrain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downgraded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Libya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suspended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rated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stir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Syria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ratings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both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Jordan and Lebanon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lowered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Whereas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Algeria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Iraq, Iran,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Syria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Yemen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Libya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Mauritania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Sudan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remained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unrated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Nonetheless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despite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Bahrain’s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lower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rating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negative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outlook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GCC countries have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maintained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strong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position. As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marked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bifurcation trend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GCC and non-GCC countries (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omitting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latter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unrated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countries). 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However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using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sovereign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ratings as a proxy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means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relying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definition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country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focuses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likelihood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sovereign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borrower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meet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debt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obligations. More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relevantly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country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likelihood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events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policies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impacting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respect, an alternative,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less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measure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affected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using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‘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perceptual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mapping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’. This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multidimensional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scaling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combining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attributes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potential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country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and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enabling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gas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industries. 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map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has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coordinates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country’s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scores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selected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attributes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map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shows an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Ideal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whose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coordinates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highest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achievable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scores. Countries’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perceived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appear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varying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Euclidean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distances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Ideal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taken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benchmark.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Notwithstanding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considerable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uncertainty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perceptual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mapping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interpreted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correctly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more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nuanced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insight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complex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situation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investors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in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region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Saudi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Arabia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appears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well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positioned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nearest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benchmark.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Next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are Qatar and the UAE putting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distance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themselves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Kuwait.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remaining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GCC countries, Oman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Bahrain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seem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have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secure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next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best positions, in spite of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Bahrain’s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vulnerability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lower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oil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Beyond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GCC, Iran and Iraq continue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pulled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 by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respective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investment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potential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notwithstanding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deteriorating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country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enabling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business.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Algeria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not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improve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position,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despite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progress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Libya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definitely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regressed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among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farthest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ideal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Yemen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Syria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Looking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ahead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difficult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foresee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significant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improvement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mapping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detailed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agenda of Moody’s 10th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Annual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GCC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available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: www.moodys.com/newsandevents/events/detail_/4400000009045/ed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 on &lt;</w:t>
      </w:r>
      <w:hyperlink r:id="rId4" w:tgtFrame="_blank" w:history="1">
        <w:r w:rsidRPr="0043486B">
          <w:rPr>
            <w:rFonts w:ascii="Times New Roman" w:eastAsia="Times New Roman" w:hAnsi="Times New Roman" w:cs="Times New Roman"/>
            <w:color w:val="00589A"/>
            <w:sz w:val="24"/>
            <w:szCs w:val="24"/>
            <w:u w:val="single"/>
            <w:lang w:eastAsia="fr-FR"/>
          </w:rPr>
          <w:t>www.linkedin.com/in/aliaissaoui</w:t>
        </w:r>
      </w:hyperlink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&gt;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8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940" w:type="dxa"/>
        <w:tblCellMar>
          <w:left w:w="0" w:type="dxa"/>
          <w:right w:w="0" w:type="dxa"/>
        </w:tblCellMar>
        <w:tblLook w:val="04A0"/>
      </w:tblPr>
      <w:tblGrid>
        <w:gridCol w:w="1210"/>
        <w:gridCol w:w="7730"/>
      </w:tblGrid>
      <w:tr w:rsidR="0043486B" w:rsidRPr="0043486B" w:rsidTr="0043486B">
        <w:trPr>
          <w:trHeight w:val="990"/>
        </w:trPr>
        <w:tc>
          <w:tcPr>
            <w:tcW w:w="1215" w:type="dxa"/>
            <w:vMerge w:val="restart"/>
            <w:vAlign w:val="center"/>
            <w:hideMark/>
          </w:tcPr>
          <w:p w:rsidR="0043486B" w:rsidRPr="0043486B" w:rsidRDefault="0043486B" w:rsidP="0043486B">
            <w:pPr>
              <w:spacing w:after="0" w:line="240" w:lineRule="auto"/>
              <w:jc w:val="both"/>
              <w:divId w:val="166666924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55" w:type="dxa"/>
            <w:vAlign w:val="bottom"/>
            <w:hideMark/>
          </w:tcPr>
          <w:p w:rsidR="0043486B" w:rsidRPr="0043486B" w:rsidRDefault="0043486B" w:rsidP="00434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6"/>
                <w:szCs w:val="36"/>
                <w:lang w:eastAsia="fr-FR"/>
              </w:rPr>
            </w:pPr>
            <w:r w:rsidRPr="0043486B">
              <w:rPr>
                <w:rFonts w:ascii="Calibri" w:eastAsia="Times New Roman" w:hAnsi="Calibri" w:cs="Arial"/>
                <w:b/>
                <w:bCs/>
                <w:color w:val="1F497D"/>
                <w:lang w:eastAsia="fr-FR"/>
              </w:rPr>
              <w:t xml:space="preserve">Ali </w:t>
            </w:r>
            <w:proofErr w:type="spellStart"/>
            <w:r w:rsidRPr="0043486B">
              <w:rPr>
                <w:rFonts w:ascii="Calibri" w:eastAsia="Times New Roman" w:hAnsi="Calibri" w:cs="Arial"/>
                <w:b/>
                <w:bCs/>
                <w:color w:val="1F497D"/>
                <w:lang w:eastAsia="fr-FR"/>
              </w:rPr>
              <w:t>Aissaoui</w:t>
            </w:r>
            <w:r w:rsidRPr="0043486B">
              <w:rPr>
                <w:rFonts w:ascii="Arial" w:eastAsia="Times New Roman" w:hAnsi="Arial" w:cs="Arial"/>
                <w:color w:val="333333"/>
                <w:sz w:val="36"/>
                <w:szCs w:val="36"/>
                <w:lang w:eastAsia="fr-FR"/>
              </w:rPr>
              <w:t>,</w:t>
            </w:r>
            <w:r w:rsidRPr="0043486B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fr-FR"/>
              </w:rPr>
              <w:t>Senior</w:t>
            </w:r>
            <w:proofErr w:type="spellEnd"/>
            <w:r w:rsidRPr="0043486B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fr-FR"/>
              </w:rPr>
              <w:t xml:space="preserve"> Consultant</w:t>
            </w:r>
            <w:r w:rsidRPr="0043486B">
              <w:rPr>
                <w:rFonts w:ascii="Arial" w:eastAsia="Times New Roman" w:hAnsi="Arial" w:cs="Arial"/>
                <w:color w:val="333333"/>
                <w:sz w:val="36"/>
                <w:szCs w:val="36"/>
                <w:lang w:eastAsia="fr-FR"/>
              </w:rPr>
              <w:t xml:space="preserve"> </w:t>
            </w:r>
            <w:r w:rsidRPr="0043486B">
              <w:rPr>
                <w:rFonts w:ascii="Arial" w:eastAsia="Times New Roman" w:hAnsi="Arial" w:cs="Arial"/>
                <w:color w:val="333333"/>
                <w:sz w:val="36"/>
                <w:szCs w:val="36"/>
                <w:lang w:eastAsia="fr-FR"/>
              </w:rPr>
              <w:br/>
            </w:r>
            <w:proofErr w:type="spellStart"/>
            <w:r w:rsidRPr="0043486B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fr-FR"/>
              </w:rPr>
              <w:t>Economics</w:t>
            </w:r>
            <w:proofErr w:type="spellEnd"/>
            <w:r w:rsidRPr="0043486B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Pr="0043486B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fr-FR"/>
              </w:rPr>
              <w:t>Research</w:t>
            </w:r>
            <w:proofErr w:type="spellEnd"/>
          </w:p>
        </w:tc>
      </w:tr>
      <w:tr w:rsidR="0043486B" w:rsidRPr="0043486B" w:rsidTr="0043486B">
        <w:trPr>
          <w:trHeight w:val="660"/>
        </w:trPr>
        <w:tc>
          <w:tcPr>
            <w:tcW w:w="0" w:type="auto"/>
            <w:vMerge/>
            <w:vAlign w:val="center"/>
            <w:hideMark/>
          </w:tcPr>
          <w:p w:rsidR="0043486B" w:rsidRPr="0043486B" w:rsidRDefault="0043486B" w:rsidP="0043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43486B" w:rsidRPr="0043486B" w:rsidRDefault="0043486B" w:rsidP="004348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D93BE"/>
                <w:sz w:val="21"/>
                <w:szCs w:val="21"/>
                <w:lang w:eastAsia="fr-FR"/>
              </w:rPr>
            </w:pPr>
            <w:r w:rsidRPr="0043486B">
              <w:rPr>
                <w:rFonts w:ascii="Calibri" w:eastAsia="Times New Roman" w:hAnsi="Calibri" w:cs="Arial"/>
                <w:b/>
                <w:bCs/>
                <w:color w:val="1F497D"/>
                <w:sz w:val="15"/>
                <w:szCs w:val="15"/>
                <w:lang w:eastAsia="fr-FR"/>
              </w:rPr>
              <w:br/>
            </w:r>
            <w:r w:rsidRPr="0043486B">
              <w:rPr>
                <w:rFonts w:ascii="Calibri" w:eastAsia="Times New Roman" w:hAnsi="Calibri" w:cs="Arial"/>
                <w:b/>
                <w:bCs/>
                <w:color w:val="1F497D"/>
                <w:sz w:val="15"/>
                <w:lang w:eastAsia="fr-FR"/>
              </w:rPr>
              <w:t>Tel</w:t>
            </w:r>
            <w:r w:rsidRPr="0043486B">
              <w:rPr>
                <w:rFonts w:ascii="Calibri" w:eastAsia="Times New Roman" w:hAnsi="Calibri" w:cs="Arial"/>
                <w:color w:val="1F497D"/>
                <w:sz w:val="15"/>
                <w:szCs w:val="15"/>
                <w:lang w:eastAsia="fr-FR"/>
              </w:rPr>
              <w:t>:         </w:t>
            </w:r>
            <w:r w:rsidRPr="0043486B">
              <w:rPr>
                <w:rFonts w:ascii="Calibri" w:eastAsia="Times New Roman" w:hAnsi="Calibri" w:cs="Arial"/>
                <w:color w:val="1F497D"/>
                <w:sz w:val="16"/>
                <w:szCs w:val="16"/>
                <w:lang w:eastAsia="fr-FR"/>
              </w:rPr>
              <w:t>+966 13 859 7138</w:t>
            </w:r>
            <w:r w:rsidRPr="0043486B">
              <w:rPr>
                <w:rFonts w:ascii="Calibri" w:eastAsia="Times New Roman" w:hAnsi="Calibri" w:cs="Arial"/>
                <w:color w:val="1F497D"/>
                <w:sz w:val="15"/>
                <w:szCs w:val="15"/>
                <w:lang w:eastAsia="fr-FR"/>
              </w:rPr>
              <w:t xml:space="preserve">             </w:t>
            </w:r>
            <w:r w:rsidRPr="0043486B">
              <w:rPr>
                <w:rFonts w:ascii="Calibri" w:eastAsia="Times New Roman" w:hAnsi="Calibri" w:cs="Arial"/>
                <w:color w:val="1F497D"/>
                <w:sz w:val="15"/>
                <w:szCs w:val="15"/>
                <w:lang w:eastAsia="fr-FR"/>
              </w:rPr>
              <w:br/>
            </w:r>
            <w:r w:rsidRPr="0043486B">
              <w:rPr>
                <w:rFonts w:ascii="Calibri" w:eastAsia="Times New Roman" w:hAnsi="Calibri" w:cs="Arial"/>
                <w:b/>
                <w:bCs/>
                <w:color w:val="1F497D"/>
                <w:sz w:val="15"/>
                <w:lang w:eastAsia="fr-FR"/>
              </w:rPr>
              <w:t>Mobile</w:t>
            </w:r>
            <w:r w:rsidRPr="0043486B">
              <w:rPr>
                <w:rFonts w:ascii="Calibri" w:eastAsia="Times New Roman" w:hAnsi="Calibri" w:cs="Arial"/>
                <w:color w:val="1F497D"/>
                <w:sz w:val="15"/>
                <w:szCs w:val="15"/>
                <w:lang w:eastAsia="fr-FR"/>
              </w:rPr>
              <w:t xml:space="preserve">: </w:t>
            </w:r>
            <w:r w:rsidRPr="0043486B">
              <w:rPr>
                <w:rFonts w:ascii="Calibri" w:eastAsia="Times New Roman" w:hAnsi="Calibri" w:cs="Arial"/>
                <w:color w:val="1F497D"/>
                <w:sz w:val="16"/>
                <w:szCs w:val="16"/>
                <w:lang w:eastAsia="fr-FR"/>
              </w:rPr>
              <w:t>+966 50 580 1584</w:t>
            </w:r>
            <w:r w:rsidRPr="0043486B">
              <w:rPr>
                <w:rFonts w:ascii="Arial" w:eastAsia="Times New Roman" w:hAnsi="Arial" w:cs="Arial"/>
                <w:color w:val="6D93BE"/>
                <w:sz w:val="15"/>
                <w:szCs w:val="15"/>
                <w:lang w:eastAsia="fr-FR"/>
              </w:rPr>
              <w:br/>
            </w:r>
            <w:r w:rsidRPr="0043486B">
              <w:rPr>
                <w:rFonts w:ascii="Calibri" w:eastAsia="Times New Roman" w:hAnsi="Calibri" w:cs="Arial"/>
                <w:b/>
                <w:bCs/>
                <w:color w:val="1F497D"/>
                <w:sz w:val="15"/>
                <w:lang w:eastAsia="fr-FR"/>
              </w:rPr>
              <w:t xml:space="preserve">Email   </w:t>
            </w:r>
            <w:r w:rsidRPr="0043486B">
              <w:rPr>
                <w:rFonts w:ascii="Calibri" w:eastAsia="Times New Roman" w:hAnsi="Calibri" w:cs="Arial"/>
                <w:color w:val="1F497D"/>
                <w:sz w:val="15"/>
                <w:szCs w:val="15"/>
                <w:lang w:eastAsia="fr-FR"/>
              </w:rPr>
              <w:t xml:space="preserve">: </w:t>
            </w:r>
            <w:hyperlink r:id="rId5" w:tgtFrame="_blank" w:tooltip="Click to send email to Ali Aissaoui" w:history="1">
              <w:r w:rsidRPr="0043486B">
                <w:rPr>
                  <w:rFonts w:ascii="Calibri" w:eastAsia="Times New Roman" w:hAnsi="Calibri" w:cs="Arial"/>
                  <w:color w:val="1F497D"/>
                  <w:sz w:val="16"/>
                  <w:u w:val="single"/>
                  <w:lang w:eastAsia="fr-FR"/>
                </w:rPr>
                <w:t>aaissaoui@apicorp-arabia.com</w:t>
              </w:r>
            </w:hyperlink>
            <w:r w:rsidRPr="0043486B">
              <w:rPr>
                <w:rFonts w:ascii="Arial" w:eastAsia="Times New Roman" w:hAnsi="Arial" w:cs="Arial"/>
                <w:color w:val="6D93BE"/>
                <w:sz w:val="15"/>
                <w:szCs w:val="15"/>
                <w:lang w:eastAsia="fr-FR"/>
              </w:rPr>
              <w:t>  </w:t>
            </w:r>
            <w:r w:rsidRPr="0043486B">
              <w:rPr>
                <w:rFonts w:ascii="Arial" w:eastAsia="Times New Roman" w:hAnsi="Arial" w:cs="Arial"/>
                <w:color w:val="6D93BE"/>
                <w:sz w:val="15"/>
                <w:szCs w:val="15"/>
                <w:lang w:eastAsia="fr-FR"/>
              </w:rPr>
              <w:br/>
            </w:r>
            <w:hyperlink r:id="rId6" w:tgtFrame="_blank" w:tooltip="" w:history="1">
              <w:r w:rsidRPr="0043486B">
                <w:rPr>
                  <w:rFonts w:ascii="Calibri" w:eastAsia="Times New Roman" w:hAnsi="Calibri" w:cs="Arial"/>
                  <w:color w:val="1F497D"/>
                  <w:sz w:val="20"/>
                  <w:u w:val="single"/>
                  <w:lang w:eastAsia="fr-FR"/>
                </w:rPr>
                <w:t>www.apicorp-arabia.com</w:t>
              </w:r>
            </w:hyperlink>
            <w:r w:rsidRPr="0043486B">
              <w:rPr>
                <w:rFonts w:ascii="Arial" w:eastAsia="Times New Roman" w:hAnsi="Arial" w:cs="Arial"/>
                <w:color w:val="6D93BE"/>
                <w:sz w:val="15"/>
                <w:szCs w:val="15"/>
                <w:lang w:eastAsia="fr-FR"/>
              </w:rPr>
              <w:t xml:space="preserve">   </w:t>
            </w:r>
          </w:p>
        </w:tc>
      </w:tr>
    </w:tbl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754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545"/>
      </w:tblGrid>
      <w:tr w:rsidR="0043486B" w:rsidRPr="0043486B" w:rsidTr="0043486B">
        <w:trPr>
          <w:trHeight w:val="1365"/>
        </w:trPr>
        <w:tc>
          <w:tcPr>
            <w:tcW w:w="7125" w:type="dxa"/>
            <w:hideMark/>
          </w:tcPr>
          <w:p w:rsidR="0043486B" w:rsidRPr="0043486B" w:rsidRDefault="0043486B" w:rsidP="0043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48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375pt;height:.75pt" o:hrpct="0" o:hralign="center" o:hrstd="t" o:hrnoshade="t" o:hr="t" fillcolor="#1f497d" stroked="f"/>
              </w:pict>
            </w: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43486B" w:rsidRPr="0043486B">
              <w:tc>
                <w:tcPr>
                  <w:tcW w:w="0" w:type="auto"/>
                  <w:vAlign w:val="center"/>
                  <w:hideMark/>
                </w:tcPr>
                <w:p w:rsidR="0043486B" w:rsidRPr="0043486B" w:rsidRDefault="0043486B" w:rsidP="004348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43486B" w:rsidRPr="0043486B" w:rsidRDefault="0043486B" w:rsidP="0043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3486B" w:rsidRPr="0043486B" w:rsidRDefault="0043486B" w:rsidP="0043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A5C" w:rsidRDefault="00B13A5C" w:rsidP="0043486B">
      <w:pPr>
        <w:jc w:val="both"/>
      </w:pPr>
    </w:p>
    <w:sectPr w:rsidR="00B13A5C" w:rsidSect="00B1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86B"/>
    <w:rsid w:val="00000059"/>
    <w:rsid w:val="00000D5B"/>
    <w:rsid w:val="00003929"/>
    <w:rsid w:val="00006E86"/>
    <w:rsid w:val="0001470C"/>
    <w:rsid w:val="000177CD"/>
    <w:rsid w:val="00020AF0"/>
    <w:rsid w:val="00021DD2"/>
    <w:rsid w:val="00023B37"/>
    <w:rsid w:val="00023FEB"/>
    <w:rsid w:val="0002591B"/>
    <w:rsid w:val="0002771B"/>
    <w:rsid w:val="000334B8"/>
    <w:rsid w:val="00034594"/>
    <w:rsid w:val="000346E1"/>
    <w:rsid w:val="00035579"/>
    <w:rsid w:val="00035F2E"/>
    <w:rsid w:val="00040EA8"/>
    <w:rsid w:val="00044138"/>
    <w:rsid w:val="00055084"/>
    <w:rsid w:val="0005578E"/>
    <w:rsid w:val="00061167"/>
    <w:rsid w:val="00064AB8"/>
    <w:rsid w:val="00065B42"/>
    <w:rsid w:val="000738A0"/>
    <w:rsid w:val="00075212"/>
    <w:rsid w:val="0007582B"/>
    <w:rsid w:val="00075DE5"/>
    <w:rsid w:val="00076EC1"/>
    <w:rsid w:val="000858EF"/>
    <w:rsid w:val="00086C99"/>
    <w:rsid w:val="0008734E"/>
    <w:rsid w:val="00087D3D"/>
    <w:rsid w:val="00090CA6"/>
    <w:rsid w:val="00092272"/>
    <w:rsid w:val="00093CE4"/>
    <w:rsid w:val="00093D2D"/>
    <w:rsid w:val="000A075A"/>
    <w:rsid w:val="000A113B"/>
    <w:rsid w:val="000A1D8C"/>
    <w:rsid w:val="000B2CBA"/>
    <w:rsid w:val="000C0F20"/>
    <w:rsid w:val="000C3587"/>
    <w:rsid w:val="000C550D"/>
    <w:rsid w:val="000D461E"/>
    <w:rsid w:val="000D502C"/>
    <w:rsid w:val="000E4726"/>
    <w:rsid w:val="000F0AA5"/>
    <w:rsid w:val="000F2B38"/>
    <w:rsid w:val="000F451E"/>
    <w:rsid w:val="000F5F85"/>
    <w:rsid w:val="000F79D9"/>
    <w:rsid w:val="00102CF0"/>
    <w:rsid w:val="0010452C"/>
    <w:rsid w:val="0010618B"/>
    <w:rsid w:val="00116BEF"/>
    <w:rsid w:val="00116E12"/>
    <w:rsid w:val="0012175A"/>
    <w:rsid w:val="00123AAC"/>
    <w:rsid w:val="00125FF5"/>
    <w:rsid w:val="00127BC3"/>
    <w:rsid w:val="0013082D"/>
    <w:rsid w:val="0013575A"/>
    <w:rsid w:val="00135781"/>
    <w:rsid w:val="00135959"/>
    <w:rsid w:val="00136EF8"/>
    <w:rsid w:val="00143DBF"/>
    <w:rsid w:val="00157796"/>
    <w:rsid w:val="00166313"/>
    <w:rsid w:val="00174CD6"/>
    <w:rsid w:val="001A0051"/>
    <w:rsid w:val="001A13CF"/>
    <w:rsid w:val="001A3076"/>
    <w:rsid w:val="001A4303"/>
    <w:rsid w:val="001A4D5D"/>
    <w:rsid w:val="001B1D96"/>
    <w:rsid w:val="001C0030"/>
    <w:rsid w:val="001C1780"/>
    <w:rsid w:val="001C3EF2"/>
    <w:rsid w:val="001C416F"/>
    <w:rsid w:val="001D1899"/>
    <w:rsid w:val="001D2E5E"/>
    <w:rsid w:val="001D7B6E"/>
    <w:rsid w:val="001E3094"/>
    <w:rsid w:val="001E4879"/>
    <w:rsid w:val="001F4E4F"/>
    <w:rsid w:val="001F5559"/>
    <w:rsid w:val="00204DFD"/>
    <w:rsid w:val="00222AEC"/>
    <w:rsid w:val="00227D5A"/>
    <w:rsid w:val="00241017"/>
    <w:rsid w:val="00242F61"/>
    <w:rsid w:val="00252D4F"/>
    <w:rsid w:val="00254283"/>
    <w:rsid w:val="0025533F"/>
    <w:rsid w:val="00277236"/>
    <w:rsid w:val="002818CB"/>
    <w:rsid w:val="00283A3F"/>
    <w:rsid w:val="0028486E"/>
    <w:rsid w:val="00284D04"/>
    <w:rsid w:val="00284ED5"/>
    <w:rsid w:val="002869ED"/>
    <w:rsid w:val="00292FAC"/>
    <w:rsid w:val="0029352A"/>
    <w:rsid w:val="00293D6A"/>
    <w:rsid w:val="0029667F"/>
    <w:rsid w:val="00297AF2"/>
    <w:rsid w:val="00297E72"/>
    <w:rsid w:val="002A0CDA"/>
    <w:rsid w:val="002A3C49"/>
    <w:rsid w:val="002A4B01"/>
    <w:rsid w:val="002A533B"/>
    <w:rsid w:val="002B2B3F"/>
    <w:rsid w:val="002C238A"/>
    <w:rsid w:val="002C38DF"/>
    <w:rsid w:val="002D6E33"/>
    <w:rsid w:val="002E05BE"/>
    <w:rsid w:val="002E37DB"/>
    <w:rsid w:val="002E65F1"/>
    <w:rsid w:val="002F0E41"/>
    <w:rsid w:val="002F4178"/>
    <w:rsid w:val="002F50ED"/>
    <w:rsid w:val="00302B7B"/>
    <w:rsid w:val="00310EA6"/>
    <w:rsid w:val="00313D4E"/>
    <w:rsid w:val="003205FE"/>
    <w:rsid w:val="0032100A"/>
    <w:rsid w:val="003256A4"/>
    <w:rsid w:val="003259E4"/>
    <w:rsid w:val="0033598C"/>
    <w:rsid w:val="00336F80"/>
    <w:rsid w:val="003418F2"/>
    <w:rsid w:val="00343B73"/>
    <w:rsid w:val="00350C82"/>
    <w:rsid w:val="00351227"/>
    <w:rsid w:val="003530BC"/>
    <w:rsid w:val="00356E03"/>
    <w:rsid w:val="00362C1E"/>
    <w:rsid w:val="00365B0D"/>
    <w:rsid w:val="00366243"/>
    <w:rsid w:val="00367FF9"/>
    <w:rsid w:val="003742CB"/>
    <w:rsid w:val="0037638B"/>
    <w:rsid w:val="0037704C"/>
    <w:rsid w:val="00380817"/>
    <w:rsid w:val="00381080"/>
    <w:rsid w:val="00382FF1"/>
    <w:rsid w:val="00385ABC"/>
    <w:rsid w:val="003908B3"/>
    <w:rsid w:val="00394A80"/>
    <w:rsid w:val="003A2B9D"/>
    <w:rsid w:val="003B7209"/>
    <w:rsid w:val="003B781C"/>
    <w:rsid w:val="003C1B3D"/>
    <w:rsid w:val="003C21A1"/>
    <w:rsid w:val="003C7830"/>
    <w:rsid w:val="003D4469"/>
    <w:rsid w:val="003D6706"/>
    <w:rsid w:val="003D7F87"/>
    <w:rsid w:val="003F056F"/>
    <w:rsid w:val="003F0AF6"/>
    <w:rsid w:val="003F224F"/>
    <w:rsid w:val="003F52C4"/>
    <w:rsid w:val="003F6140"/>
    <w:rsid w:val="003F638B"/>
    <w:rsid w:val="003F6A9D"/>
    <w:rsid w:val="00400500"/>
    <w:rsid w:val="00403686"/>
    <w:rsid w:val="004039F5"/>
    <w:rsid w:val="0041109B"/>
    <w:rsid w:val="00413F3D"/>
    <w:rsid w:val="00424C62"/>
    <w:rsid w:val="00426330"/>
    <w:rsid w:val="004321DE"/>
    <w:rsid w:val="004324B7"/>
    <w:rsid w:val="0043486B"/>
    <w:rsid w:val="004353FF"/>
    <w:rsid w:val="004354B4"/>
    <w:rsid w:val="004378BE"/>
    <w:rsid w:val="0044085C"/>
    <w:rsid w:val="0044122F"/>
    <w:rsid w:val="004431FB"/>
    <w:rsid w:val="004534A0"/>
    <w:rsid w:val="004550F8"/>
    <w:rsid w:val="00457FCF"/>
    <w:rsid w:val="004609FA"/>
    <w:rsid w:val="00461FC5"/>
    <w:rsid w:val="004674FA"/>
    <w:rsid w:val="00470DDF"/>
    <w:rsid w:val="00473364"/>
    <w:rsid w:val="00476649"/>
    <w:rsid w:val="00477A6B"/>
    <w:rsid w:val="00480EDD"/>
    <w:rsid w:val="0048195D"/>
    <w:rsid w:val="00485BB8"/>
    <w:rsid w:val="00486B5C"/>
    <w:rsid w:val="00490028"/>
    <w:rsid w:val="00492FAC"/>
    <w:rsid w:val="004A6FCD"/>
    <w:rsid w:val="004B1E5E"/>
    <w:rsid w:val="004B293E"/>
    <w:rsid w:val="004B2F6B"/>
    <w:rsid w:val="004B5C8E"/>
    <w:rsid w:val="004B64A5"/>
    <w:rsid w:val="004B6D46"/>
    <w:rsid w:val="004C3B87"/>
    <w:rsid w:val="004D3ED7"/>
    <w:rsid w:val="004D4675"/>
    <w:rsid w:val="004D7E75"/>
    <w:rsid w:val="004F0C27"/>
    <w:rsid w:val="004F11C5"/>
    <w:rsid w:val="004F1DFE"/>
    <w:rsid w:val="00501967"/>
    <w:rsid w:val="005030D8"/>
    <w:rsid w:val="00505717"/>
    <w:rsid w:val="00510518"/>
    <w:rsid w:val="00515189"/>
    <w:rsid w:val="00516F7B"/>
    <w:rsid w:val="00526E9D"/>
    <w:rsid w:val="005305E6"/>
    <w:rsid w:val="0053395E"/>
    <w:rsid w:val="0054772F"/>
    <w:rsid w:val="00550659"/>
    <w:rsid w:val="00553A18"/>
    <w:rsid w:val="005546CB"/>
    <w:rsid w:val="005547F2"/>
    <w:rsid w:val="00564E30"/>
    <w:rsid w:val="00566A6D"/>
    <w:rsid w:val="005702D5"/>
    <w:rsid w:val="005704F1"/>
    <w:rsid w:val="00571DBD"/>
    <w:rsid w:val="0057334E"/>
    <w:rsid w:val="00573586"/>
    <w:rsid w:val="00581C6C"/>
    <w:rsid w:val="005950C4"/>
    <w:rsid w:val="00596112"/>
    <w:rsid w:val="005A183C"/>
    <w:rsid w:val="005D0AC7"/>
    <w:rsid w:val="005D0D02"/>
    <w:rsid w:val="005D6E2F"/>
    <w:rsid w:val="005E2049"/>
    <w:rsid w:val="005E61D2"/>
    <w:rsid w:val="005F5B8F"/>
    <w:rsid w:val="006001E6"/>
    <w:rsid w:val="00601143"/>
    <w:rsid w:val="00601F80"/>
    <w:rsid w:val="006026A9"/>
    <w:rsid w:val="006030E0"/>
    <w:rsid w:val="006037F4"/>
    <w:rsid w:val="00605FAB"/>
    <w:rsid w:val="00606D81"/>
    <w:rsid w:val="00607925"/>
    <w:rsid w:val="0062546B"/>
    <w:rsid w:val="0062799F"/>
    <w:rsid w:val="00632057"/>
    <w:rsid w:val="00632781"/>
    <w:rsid w:val="006409A6"/>
    <w:rsid w:val="006418F6"/>
    <w:rsid w:val="006426D5"/>
    <w:rsid w:val="006433B9"/>
    <w:rsid w:val="00645788"/>
    <w:rsid w:val="0064713B"/>
    <w:rsid w:val="00651B59"/>
    <w:rsid w:val="00653EA5"/>
    <w:rsid w:val="00662E25"/>
    <w:rsid w:val="00671510"/>
    <w:rsid w:val="00672BCD"/>
    <w:rsid w:val="006770F2"/>
    <w:rsid w:val="006843DE"/>
    <w:rsid w:val="00694DA5"/>
    <w:rsid w:val="006961BB"/>
    <w:rsid w:val="00696614"/>
    <w:rsid w:val="006A0E9A"/>
    <w:rsid w:val="006A2A95"/>
    <w:rsid w:val="006A6C22"/>
    <w:rsid w:val="006A7D3F"/>
    <w:rsid w:val="006B02E2"/>
    <w:rsid w:val="006B2F8D"/>
    <w:rsid w:val="006B4D88"/>
    <w:rsid w:val="006C25F6"/>
    <w:rsid w:val="006C2ECB"/>
    <w:rsid w:val="006C334E"/>
    <w:rsid w:val="006C3E8E"/>
    <w:rsid w:val="006C58B9"/>
    <w:rsid w:val="006C6812"/>
    <w:rsid w:val="006C71AE"/>
    <w:rsid w:val="006D19F8"/>
    <w:rsid w:val="006D1D04"/>
    <w:rsid w:val="006E2C46"/>
    <w:rsid w:val="006E58E3"/>
    <w:rsid w:val="006E756D"/>
    <w:rsid w:val="006F299B"/>
    <w:rsid w:val="006F3E0B"/>
    <w:rsid w:val="006F5C56"/>
    <w:rsid w:val="00700AB1"/>
    <w:rsid w:val="00703252"/>
    <w:rsid w:val="00704602"/>
    <w:rsid w:val="00705E29"/>
    <w:rsid w:val="00706EA9"/>
    <w:rsid w:val="007108A7"/>
    <w:rsid w:val="007127C4"/>
    <w:rsid w:val="00712C17"/>
    <w:rsid w:val="00715BDE"/>
    <w:rsid w:val="00715E99"/>
    <w:rsid w:val="007166E7"/>
    <w:rsid w:val="007205BB"/>
    <w:rsid w:val="00722F66"/>
    <w:rsid w:val="00726E11"/>
    <w:rsid w:val="007311C4"/>
    <w:rsid w:val="007327B6"/>
    <w:rsid w:val="007337A2"/>
    <w:rsid w:val="007362EE"/>
    <w:rsid w:val="007407D8"/>
    <w:rsid w:val="007412F9"/>
    <w:rsid w:val="00744B16"/>
    <w:rsid w:val="007515E8"/>
    <w:rsid w:val="00752AB5"/>
    <w:rsid w:val="00763465"/>
    <w:rsid w:val="00764257"/>
    <w:rsid w:val="00765781"/>
    <w:rsid w:val="00765FEE"/>
    <w:rsid w:val="007733FC"/>
    <w:rsid w:val="00775EC0"/>
    <w:rsid w:val="00780216"/>
    <w:rsid w:val="00783EFC"/>
    <w:rsid w:val="007852A0"/>
    <w:rsid w:val="00785855"/>
    <w:rsid w:val="00793356"/>
    <w:rsid w:val="007960A4"/>
    <w:rsid w:val="007A0906"/>
    <w:rsid w:val="007A1127"/>
    <w:rsid w:val="007B281D"/>
    <w:rsid w:val="007B5F2B"/>
    <w:rsid w:val="007B6C16"/>
    <w:rsid w:val="007B7563"/>
    <w:rsid w:val="007D03F1"/>
    <w:rsid w:val="007D3FFD"/>
    <w:rsid w:val="007F0487"/>
    <w:rsid w:val="007F26A3"/>
    <w:rsid w:val="007F691D"/>
    <w:rsid w:val="0080469E"/>
    <w:rsid w:val="008122DA"/>
    <w:rsid w:val="00813F72"/>
    <w:rsid w:val="00814259"/>
    <w:rsid w:val="0082418D"/>
    <w:rsid w:val="00824486"/>
    <w:rsid w:val="008307F5"/>
    <w:rsid w:val="00835230"/>
    <w:rsid w:val="00835560"/>
    <w:rsid w:val="008430B2"/>
    <w:rsid w:val="00851BAF"/>
    <w:rsid w:val="00854FD2"/>
    <w:rsid w:val="008569E5"/>
    <w:rsid w:val="00857549"/>
    <w:rsid w:val="0086432E"/>
    <w:rsid w:val="00872084"/>
    <w:rsid w:val="00873485"/>
    <w:rsid w:val="00874B72"/>
    <w:rsid w:val="008751C2"/>
    <w:rsid w:val="0088066C"/>
    <w:rsid w:val="008870C8"/>
    <w:rsid w:val="0089175B"/>
    <w:rsid w:val="00894F1D"/>
    <w:rsid w:val="00895DAA"/>
    <w:rsid w:val="008A1F8C"/>
    <w:rsid w:val="008A6D3D"/>
    <w:rsid w:val="008B09AA"/>
    <w:rsid w:val="008B205C"/>
    <w:rsid w:val="008D4A95"/>
    <w:rsid w:val="008D5C2C"/>
    <w:rsid w:val="008E2DC7"/>
    <w:rsid w:val="008E427B"/>
    <w:rsid w:val="008F48BB"/>
    <w:rsid w:val="008F6B42"/>
    <w:rsid w:val="00901151"/>
    <w:rsid w:val="00902B47"/>
    <w:rsid w:val="00902D3F"/>
    <w:rsid w:val="00905F6D"/>
    <w:rsid w:val="009119A4"/>
    <w:rsid w:val="00911BCF"/>
    <w:rsid w:val="00912877"/>
    <w:rsid w:val="0091659D"/>
    <w:rsid w:val="00917C65"/>
    <w:rsid w:val="00921181"/>
    <w:rsid w:val="00925D18"/>
    <w:rsid w:val="0092641B"/>
    <w:rsid w:val="00927B3E"/>
    <w:rsid w:val="009309B2"/>
    <w:rsid w:val="0093156D"/>
    <w:rsid w:val="00933C22"/>
    <w:rsid w:val="00935B99"/>
    <w:rsid w:val="00941454"/>
    <w:rsid w:val="00942183"/>
    <w:rsid w:val="0094701F"/>
    <w:rsid w:val="009503A2"/>
    <w:rsid w:val="00953E85"/>
    <w:rsid w:val="00954BF8"/>
    <w:rsid w:val="00955A36"/>
    <w:rsid w:val="00962E83"/>
    <w:rsid w:val="00965908"/>
    <w:rsid w:val="00970E13"/>
    <w:rsid w:val="00972D27"/>
    <w:rsid w:val="0097427F"/>
    <w:rsid w:val="009825E1"/>
    <w:rsid w:val="00982624"/>
    <w:rsid w:val="009905F4"/>
    <w:rsid w:val="00991A95"/>
    <w:rsid w:val="009A184F"/>
    <w:rsid w:val="009A1EE8"/>
    <w:rsid w:val="009A4B43"/>
    <w:rsid w:val="009B2388"/>
    <w:rsid w:val="009B551B"/>
    <w:rsid w:val="009C051C"/>
    <w:rsid w:val="009C0A01"/>
    <w:rsid w:val="009C137C"/>
    <w:rsid w:val="009C2633"/>
    <w:rsid w:val="009D16F9"/>
    <w:rsid w:val="009D2E9E"/>
    <w:rsid w:val="009D38A8"/>
    <w:rsid w:val="009D42FE"/>
    <w:rsid w:val="009D4CC7"/>
    <w:rsid w:val="009D6CCF"/>
    <w:rsid w:val="009E79B1"/>
    <w:rsid w:val="009F0937"/>
    <w:rsid w:val="009F2A39"/>
    <w:rsid w:val="00A01EC8"/>
    <w:rsid w:val="00A04812"/>
    <w:rsid w:val="00A04CAD"/>
    <w:rsid w:val="00A11A98"/>
    <w:rsid w:val="00A13337"/>
    <w:rsid w:val="00A14394"/>
    <w:rsid w:val="00A20C94"/>
    <w:rsid w:val="00A259F4"/>
    <w:rsid w:val="00A2759E"/>
    <w:rsid w:val="00A34281"/>
    <w:rsid w:val="00A34EA7"/>
    <w:rsid w:val="00A375E9"/>
    <w:rsid w:val="00A412D6"/>
    <w:rsid w:val="00A43082"/>
    <w:rsid w:val="00A43D4A"/>
    <w:rsid w:val="00A44383"/>
    <w:rsid w:val="00A454FD"/>
    <w:rsid w:val="00A462E0"/>
    <w:rsid w:val="00A47488"/>
    <w:rsid w:val="00A5491B"/>
    <w:rsid w:val="00A555DF"/>
    <w:rsid w:val="00A557E6"/>
    <w:rsid w:val="00A571CC"/>
    <w:rsid w:val="00A616EB"/>
    <w:rsid w:val="00A61DD2"/>
    <w:rsid w:val="00A64182"/>
    <w:rsid w:val="00A653CB"/>
    <w:rsid w:val="00A67ADE"/>
    <w:rsid w:val="00A768EC"/>
    <w:rsid w:val="00A825DE"/>
    <w:rsid w:val="00A8438C"/>
    <w:rsid w:val="00A85017"/>
    <w:rsid w:val="00A87753"/>
    <w:rsid w:val="00A9086A"/>
    <w:rsid w:val="00A934D4"/>
    <w:rsid w:val="00A95C97"/>
    <w:rsid w:val="00A97134"/>
    <w:rsid w:val="00AA5E88"/>
    <w:rsid w:val="00AA5F27"/>
    <w:rsid w:val="00AA643C"/>
    <w:rsid w:val="00AB0567"/>
    <w:rsid w:val="00AB3115"/>
    <w:rsid w:val="00AB3CC3"/>
    <w:rsid w:val="00AB3D71"/>
    <w:rsid w:val="00AB41E6"/>
    <w:rsid w:val="00AC163E"/>
    <w:rsid w:val="00AC55CA"/>
    <w:rsid w:val="00AC6C96"/>
    <w:rsid w:val="00AC70DA"/>
    <w:rsid w:val="00AC7DE8"/>
    <w:rsid w:val="00AD10A9"/>
    <w:rsid w:val="00AD2723"/>
    <w:rsid w:val="00AD3362"/>
    <w:rsid w:val="00AD53E7"/>
    <w:rsid w:val="00AD696E"/>
    <w:rsid w:val="00AD6A40"/>
    <w:rsid w:val="00AD71EF"/>
    <w:rsid w:val="00AE329A"/>
    <w:rsid w:val="00AE50DB"/>
    <w:rsid w:val="00AF7442"/>
    <w:rsid w:val="00B0071C"/>
    <w:rsid w:val="00B01B30"/>
    <w:rsid w:val="00B01D56"/>
    <w:rsid w:val="00B02462"/>
    <w:rsid w:val="00B13A5C"/>
    <w:rsid w:val="00B13CB6"/>
    <w:rsid w:val="00B15C36"/>
    <w:rsid w:val="00B309A5"/>
    <w:rsid w:val="00B320EA"/>
    <w:rsid w:val="00B32C18"/>
    <w:rsid w:val="00B3493A"/>
    <w:rsid w:val="00B35C37"/>
    <w:rsid w:val="00B364D9"/>
    <w:rsid w:val="00B41E67"/>
    <w:rsid w:val="00B44C3F"/>
    <w:rsid w:val="00B45AB9"/>
    <w:rsid w:val="00B50959"/>
    <w:rsid w:val="00B5153A"/>
    <w:rsid w:val="00B62911"/>
    <w:rsid w:val="00B654A4"/>
    <w:rsid w:val="00B667EA"/>
    <w:rsid w:val="00B6728F"/>
    <w:rsid w:val="00B71870"/>
    <w:rsid w:val="00B7207B"/>
    <w:rsid w:val="00B73623"/>
    <w:rsid w:val="00B741A3"/>
    <w:rsid w:val="00B83238"/>
    <w:rsid w:val="00B843DF"/>
    <w:rsid w:val="00B85142"/>
    <w:rsid w:val="00B85D6D"/>
    <w:rsid w:val="00B92275"/>
    <w:rsid w:val="00B95D33"/>
    <w:rsid w:val="00B95FB9"/>
    <w:rsid w:val="00B97010"/>
    <w:rsid w:val="00BA2AA5"/>
    <w:rsid w:val="00BA4AE5"/>
    <w:rsid w:val="00BA5FAB"/>
    <w:rsid w:val="00BA6E64"/>
    <w:rsid w:val="00BB0BFC"/>
    <w:rsid w:val="00BC1855"/>
    <w:rsid w:val="00BC4822"/>
    <w:rsid w:val="00BC5271"/>
    <w:rsid w:val="00BD12F5"/>
    <w:rsid w:val="00BD38DC"/>
    <w:rsid w:val="00BD50DD"/>
    <w:rsid w:val="00BD65BC"/>
    <w:rsid w:val="00BE24D0"/>
    <w:rsid w:val="00BE3F6D"/>
    <w:rsid w:val="00BE4C41"/>
    <w:rsid w:val="00BE6387"/>
    <w:rsid w:val="00BE7C36"/>
    <w:rsid w:val="00BF5D89"/>
    <w:rsid w:val="00C01071"/>
    <w:rsid w:val="00C0398F"/>
    <w:rsid w:val="00C05A02"/>
    <w:rsid w:val="00C06EC2"/>
    <w:rsid w:val="00C113A5"/>
    <w:rsid w:val="00C113CD"/>
    <w:rsid w:val="00C14BAD"/>
    <w:rsid w:val="00C15B1A"/>
    <w:rsid w:val="00C2561E"/>
    <w:rsid w:val="00C33142"/>
    <w:rsid w:val="00C36273"/>
    <w:rsid w:val="00C46010"/>
    <w:rsid w:val="00C50770"/>
    <w:rsid w:val="00C520C2"/>
    <w:rsid w:val="00C5260C"/>
    <w:rsid w:val="00C53E9A"/>
    <w:rsid w:val="00C60D0B"/>
    <w:rsid w:val="00C661C4"/>
    <w:rsid w:val="00C7003B"/>
    <w:rsid w:val="00C707E0"/>
    <w:rsid w:val="00C73F47"/>
    <w:rsid w:val="00C74874"/>
    <w:rsid w:val="00C773B5"/>
    <w:rsid w:val="00C822CE"/>
    <w:rsid w:val="00C85F92"/>
    <w:rsid w:val="00C86532"/>
    <w:rsid w:val="00C923CA"/>
    <w:rsid w:val="00C92D31"/>
    <w:rsid w:val="00C931F2"/>
    <w:rsid w:val="00C96960"/>
    <w:rsid w:val="00CA62EA"/>
    <w:rsid w:val="00CB0D36"/>
    <w:rsid w:val="00CB69DF"/>
    <w:rsid w:val="00CD64C9"/>
    <w:rsid w:val="00CE2E6B"/>
    <w:rsid w:val="00CE577F"/>
    <w:rsid w:val="00CF135D"/>
    <w:rsid w:val="00CF2B6F"/>
    <w:rsid w:val="00CF7766"/>
    <w:rsid w:val="00CF7E8F"/>
    <w:rsid w:val="00D03DD2"/>
    <w:rsid w:val="00D0525A"/>
    <w:rsid w:val="00D1023F"/>
    <w:rsid w:val="00D12F79"/>
    <w:rsid w:val="00D14CFB"/>
    <w:rsid w:val="00D15D58"/>
    <w:rsid w:val="00D25D3E"/>
    <w:rsid w:val="00D339B3"/>
    <w:rsid w:val="00D40444"/>
    <w:rsid w:val="00D41BE8"/>
    <w:rsid w:val="00D427BB"/>
    <w:rsid w:val="00D441BA"/>
    <w:rsid w:val="00D46D24"/>
    <w:rsid w:val="00D5247D"/>
    <w:rsid w:val="00D56D79"/>
    <w:rsid w:val="00D56F90"/>
    <w:rsid w:val="00D616EE"/>
    <w:rsid w:val="00D63581"/>
    <w:rsid w:val="00D6499D"/>
    <w:rsid w:val="00D65855"/>
    <w:rsid w:val="00D6762B"/>
    <w:rsid w:val="00D73311"/>
    <w:rsid w:val="00D73713"/>
    <w:rsid w:val="00D77186"/>
    <w:rsid w:val="00D801AB"/>
    <w:rsid w:val="00D91D31"/>
    <w:rsid w:val="00DA1C5C"/>
    <w:rsid w:val="00DA440C"/>
    <w:rsid w:val="00DA49AA"/>
    <w:rsid w:val="00DA4D1C"/>
    <w:rsid w:val="00DA6FF3"/>
    <w:rsid w:val="00DB73CE"/>
    <w:rsid w:val="00DC0574"/>
    <w:rsid w:val="00DC2E54"/>
    <w:rsid w:val="00DC7246"/>
    <w:rsid w:val="00DD0FD6"/>
    <w:rsid w:val="00DD5A39"/>
    <w:rsid w:val="00DD622A"/>
    <w:rsid w:val="00DE25E3"/>
    <w:rsid w:val="00DF0364"/>
    <w:rsid w:val="00DF4198"/>
    <w:rsid w:val="00DF4949"/>
    <w:rsid w:val="00DF7247"/>
    <w:rsid w:val="00E0270A"/>
    <w:rsid w:val="00E03595"/>
    <w:rsid w:val="00E10C7B"/>
    <w:rsid w:val="00E12406"/>
    <w:rsid w:val="00E13D46"/>
    <w:rsid w:val="00E15330"/>
    <w:rsid w:val="00E17654"/>
    <w:rsid w:val="00E25641"/>
    <w:rsid w:val="00E31616"/>
    <w:rsid w:val="00E33D74"/>
    <w:rsid w:val="00E354F1"/>
    <w:rsid w:val="00E35D69"/>
    <w:rsid w:val="00E375D5"/>
    <w:rsid w:val="00E40DE1"/>
    <w:rsid w:val="00E451E4"/>
    <w:rsid w:val="00E47426"/>
    <w:rsid w:val="00E47847"/>
    <w:rsid w:val="00E51206"/>
    <w:rsid w:val="00E61610"/>
    <w:rsid w:val="00E6238D"/>
    <w:rsid w:val="00E632C2"/>
    <w:rsid w:val="00E6451D"/>
    <w:rsid w:val="00E66461"/>
    <w:rsid w:val="00E71720"/>
    <w:rsid w:val="00E72509"/>
    <w:rsid w:val="00E75504"/>
    <w:rsid w:val="00E75FA4"/>
    <w:rsid w:val="00E805D0"/>
    <w:rsid w:val="00E837D3"/>
    <w:rsid w:val="00E916E3"/>
    <w:rsid w:val="00E94BCC"/>
    <w:rsid w:val="00E97D0D"/>
    <w:rsid w:val="00EA1C83"/>
    <w:rsid w:val="00EA44ED"/>
    <w:rsid w:val="00EA70CC"/>
    <w:rsid w:val="00EB0637"/>
    <w:rsid w:val="00EB4059"/>
    <w:rsid w:val="00EC761A"/>
    <w:rsid w:val="00ED431B"/>
    <w:rsid w:val="00ED6EEF"/>
    <w:rsid w:val="00ED7555"/>
    <w:rsid w:val="00EE0006"/>
    <w:rsid w:val="00EE595C"/>
    <w:rsid w:val="00EE5A5E"/>
    <w:rsid w:val="00EE7353"/>
    <w:rsid w:val="00EE7FC2"/>
    <w:rsid w:val="00EF0B9B"/>
    <w:rsid w:val="00EF0CB1"/>
    <w:rsid w:val="00EF0DC7"/>
    <w:rsid w:val="00EF0F11"/>
    <w:rsid w:val="00EF0F89"/>
    <w:rsid w:val="00EF2549"/>
    <w:rsid w:val="00EF3077"/>
    <w:rsid w:val="00EF34EE"/>
    <w:rsid w:val="00EF6280"/>
    <w:rsid w:val="00F047A7"/>
    <w:rsid w:val="00F05C98"/>
    <w:rsid w:val="00F1666E"/>
    <w:rsid w:val="00F21075"/>
    <w:rsid w:val="00F26E9B"/>
    <w:rsid w:val="00F35BC6"/>
    <w:rsid w:val="00F35C37"/>
    <w:rsid w:val="00F37561"/>
    <w:rsid w:val="00F37C69"/>
    <w:rsid w:val="00F41074"/>
    <w:rsid w:val="00F421FB"/>
    <w:rsid w:val="00F42503"/>
    <w:rsid w:val="00F45096"/>
    <w:rsid w:val="00F45D54"/>
    <w:rsid w:val="00F51E95"/>
    <w:rsid w:val="00F521E9"/>
    <w:rsid w:val="00F523B6"/>
    <w:rsid w:val="00F52D4C"/>
    <w:rsid w:val="00F604E6"/>
    <w:rsid w:val="00F66C95"/>
    <w:rsid w:val="00F6731E"/>
    <w:rsid w:val="00F747B8"/>
    <w:rsid w:val="00F74E5C"/>
    <w:rsid w:val="00F7560E"/>
    <w:rsid w:val="00F77689"/>
    <w:rsid w:val="00F82685"/>
    <w:rsid w:val="00F84FBB"/>
    <w:rsid w:val="00F86B1E"/>
    <w:rsid w:val="00F91150"/>
    <w:rsid w:val="00F913C9"/>
    <w:rsid w:val="00F93064"/>
    <w:rsid w:val="00F93AA9"/>
    <w:rsid w:val="00F93AAA"/>
    <w:rsid w:val="00FA2EDE"/>
    <w:rsid w:val="00FA7E52"/>
    <w:rsid w:val="00FB0AD8"/>
    <w:rsid w:val="00FB1717"/>
    <w:rsid w:val="00FB6795"/>
    <w:rsid w:val="00FB74EC"/>
    <w:rsid w:val="00FB7BCE"/>
    <w:rsid w:val="00FC3882"/>
    <w:rsid w:val="00FD14F0"/>
    <w:rsid w:val="00FD1B77"/>
    <w:rsid w:val="00FD6347"/>
    <w:rsid w:val="00FE0850"/>
    <w:rsid w:val="00FE0CEB"/>
    <w:rsid w:val="00FE0F38"/>
    <w:rsid w:val="00FE292B"/>
    <w:rsid w:val="00FE3938"/>
    <w:rsid w:val="00FE39ED"/>
    <w:rsid w:val="00FE4CC2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486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4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icorp-arabia.com/" TargetMode="External"/><Relationship Id="rId5" Type="http://schemas.openxmlformats.org/officeDocument/2006/relationships/hyperlink" Target="mailto:aaissaoui@apicorp-arabia.com" TargetMode="External"/><Relationship Id="rId4" Type="http://schemas.openxmlformats.org/officeDocument/2006/relationships/hyperlink" Target="http://www.linkedin.com/in/aliaissaou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5280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safouane le roi</dc:creator>
  <cp:lastModifiedBy>safouane le roi</cp:lastModifiedBy>
  <cp:revision>1</cp:revision>
  <dcterms:created xsi:type="dcterms:W3CDTF">2015-03-13T00:20:00Z</dcterms:created>
  <dcterms:modified xsi:type="dcterms:W3CDTF">2015-03-13T00:21:00Z</dcterms:modified>
</cp:coreProperties>
</file>